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085850" cy="892810"/>
            <wp:effectExtent b="0" l="0" r="0" t="0"/>
            <wp:docPr descr="abbottlogo Compressed copy.jpg" id="1" name="image01.jpg"/>
            <a:graphic>
              <a:graphicData uri="http://schemas.openxmlformats.org/drawingml/2006/picture">
                <pic:pic>
                  <pic:nvPicPr>
                    <pic:cNvPr descr="abbottlogo Compressed copy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92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0"/>
        </w:rPr>
        <w:t xml:space="preserve">201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0"/>
        </w:rPr>
        <w:t xml:space="preserve"> Abbott Panthe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rs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0"/>
        </w:rPr>
        <w:t xml:space="preserve">Baseball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942.0" w:type="dxa"/>
        <w:jc w:val="left"/>
        <w:tblInd w:w="-108.0" w:type="dxa"/>
        <w:tblLayout w:type="fixed"/>
        <w:tblLook w:val="0000"/>
      </w:tblPr>
      <w:tblGrid>
        <w:gridCol w:w="2220"/>
        <w:gridCol w:w="2250"/>
        <w:gridCol w:w="2236"/>
        <w:gridCol w:w="2236"/>
        <w:tblGridChange w:id="0">
          <w:tblGrid>
            <w:gridCol w:w="2220"/>
            <w:gridCol w:w="2250"/>
            <w:gridCol w:w="2236"/>
            <w:gridCol w:w="2236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Opponent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2/2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 (Sat.)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2/28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3/2-3/4 (Thur-Sat)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Blooming Grove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Mexia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Tournament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Away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3/7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*Milford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Away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3/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9-3/11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3/14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3/17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Ponder Tournament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*Avalon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*Blum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Away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TBA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4:30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4:30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3/2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*Covington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3/2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Italy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Away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3/2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Itasca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3/31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Frost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Away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4/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*Milford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4/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*Av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Away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4/1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*Blum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4/1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Covington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Away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4/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*Italy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4/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*Itasca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Away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4/2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Frost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(S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r.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Day)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sz w:val="16"/>
          <w:szCs w:val="16"/>
          <w:vertAlign w:val="baseline"/>
          <w:rtl w:val="0"/>
        </w:rPr>
        <w:t xml:space="preserve">* Denotes District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Head Coach: Kyle Crawford</w:t>
        <w:tab/>
        <w:tab/>
        <w:tab/>
        <w:tab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Athletic Director: Terry Crawford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Assistant Coaches: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Dylan Moore</w:t>
      </w: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ab/>
        <w:t xml:space="preserve">, Terry Crawford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Superintendent: Dr. Ricky Edison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Principal</w:t>
      </w: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: Eric P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ustejovsky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Questrial" w:cs="Questrial" w:eastAsia="Questrial" w:hAnsi="Questrial"/>
        <w:b w:val="1"/>
        <w:i w:val="0"/>
        <w:smallCaps w:val="0"/>
        <w:strike w:val="0"/>
        <w:color w:val="0000ff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